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Personuppgiftsbiträdesavtal (PUB-avtal)</w:t>
      </w:r>
    </w:p>
    <w:p>
      <w:pPr>
        <w:spacing w:after="40"/>
      </w:pPr>
    </w:p>
    <w:p>
      <w:pPr>
        <w:spacing w:after="40"/>
      </w:pPr>
      <w:r>
        <w:t>Mellan</w:t>
      </w:r>
    </w:p>
    <w:p>
      <w:pPr>
        <w:spacing w:after="40"/>
      </w:pPr>
      <w:r>
        <w:t>Personuppgiftsansvarig: [Företagsnamn], org.nr [XXXXXX-XXXX] ("Ansvarig")</w:t>
      </w:r>
    </w:p>
    <w:p>
      <w:pPr>
        <w:spacing w:after="40"/>
      </w:pPr>
      <w:r>
        <w:t>och</w:t>
      </w:r>
    </w:p>
    <w:p>
      <w:pPr>
        <w:spacing w:after="40"/>
      </w:pPr>
      <w:r>
        <w:t>Personuppgiftsbiträde: [Leverantörsnamn], org.nr [XXXXXX-XXXX] ("Biträdet")</w:t>
      </w:r>
    </w:p>
    <w:p>
      <w:pPr>
        <w:spacing w:after="40"/>
      </w:pPr>
    </w:p>
    <w:p>
      <w:pPr>
        <w:spacing w:after="40"/>
      </w:pPr>
      <w:r>
        <w:t>Avtalet är en bilaga till huvudavtalet [avtalsnamn, datum] och gäller så länge</w:t>
      </w:r>
    </w:p>
    <w:p>
      <w:pPr>
        <w:spacing w:after="40"/>
      </w:pPr>
      <w:r>
        <w:t>Biträdet behandlar personuppgifter för Ansvarigs räkning.</w:t>
      </w:r>
    </w:p>
    <w:p>
      <w:pPr>
        <w:spacing w:after="40"/>
      </w:pPr>
    </w:p>
    <w:p>
      <w:pPr>
        <w:pStyle w:val="Heading1"/>
      </w:pPr>
      <w:r>
        <w:t>1. Bakgrund och syfte</w:t>
      </w:r>
    </w:p>
    <w:p>
      <w:pPr>
        <w:spacing w:after="40"/>
      </w:pPr>
      <w:r>
        <w:t>Biträdet behandlar personuppgifter för Ansvarigs räkning inom ramen för huvudavtalet.</w:t>
      </w:r>
    </w:p>
    <w:p>
      <w:pPr>
        <w:spacing w:after="40"/>
      </w:pPr>
      <w:r>
        <w:t>Detta avtal reglerar behandlingen enligt artikel 28 i EU:s dataskyddsförordning (GDPR).</w:t>
      </w:r>
    </w:p>
    <w:p>
      <w:pPr>
        <w:spacing w:after="40"/>
      </w:pPr>
      <w:r>
        <w:t>Vid motstridighet har detta avtal företräde i dataskyddsfrågor.</w:t>
      </w:r>
    </w:p>
    <w:p>
      <w:pPr>
        <w:spacing w:after="40"/>
      </w:pPr>
    </w:p>
    <w:p>
      <w:pPr>
        <w:pStyle w:val="Heading1"/>
      </w:pPr>
      <w:r>
        <w:t>2. Instruktioner</w:t>
      </w:r>
    </w:p>
    <w:p>
      <w:pPr>
        <w:spacing w:after="40"/>
      </w:pPr>
      <w:r>
        <w:t>2.1 Biträdet får endast behandla personuppgifter enligt Ansvarigs dokumenterade</w:t>
      </w:r>
    </w:p>
    <w:p>
      <w:pPr>
        <w:spacing w:after="40"/>
      </w:pPr>
      <w:r>
        <w:t xml:space="preserve">    instruktioner, se Bilaga A.</w:t>
      </w:r>
    </w:p>
    <w:p>
      <w:pPr>
        <w:spacing w:after="40"/>
      </w:pPr>
      <w:r>
        <w:t>2.2 Biträdet får inte använda uppgifterna för egna ändamål, inklusive träning eller</w:t>
      </w:r>
    </w:p>
    <w:p>
      <w:pPr>
        <w:spacing w:after="40"/>
      </w:pPr>
      <w:r>
        <w:t xml:space="preserve">    finjustering av AI-modeller, utan Ansvarigs skriftliga godkännande.</w:t>
      </w:r>
    </w:p>
    <w:p>
      <w:pPr>
        <w:spacing w:after="40"/>
      </w:pPr>
      <w:r>
        <w:t>2.3 Biträdet ska omedelbart informera Ansvarig om en instruktion enligt Biträdets</w:t>
      </w:r>
    </w:p>
    <w:p>
      <w:pPr>
        <w:spacing w:after="40"/>
      </w:pPr>
      <w:r>
        <w:t xml:space="preserve">    uppfattning strider mot tillämplig dataskyddslagstiftning.</w:t>
      </w:r>
    </w:p>
    <w:p>
      <w:pPr>
        <w:spacing w:after="40"/>
      </w:pPr>
    </w:p>
    <w:p>
      <w:pPr>
        <w:pStyle w:val="Heading1"/>
      </w:pPr>
      <w:r>
        <w:t>3. Sekretess</w:t>
      </w:r>
    </w:p>
    <w:p>
      <w:pPr>
        <w:spacing w:after="40"/>
      </w:pPr>
      <w:r>
        <w:t>Biträdet ska säkerställa att personer med åtkomst till uppgifterna omfattas av</w:t>
      </w:r>
    </w:p>
    <w:p>
      <w:pPr>
        <w:spacing w:after="40"/>
      </w:pPr>
      <w:r>
        <w:t>sekretessåtagande och endast får åtkomst i den omfattning arbetsuppgifterna kräver.</w:t>
      </w:r>
    </w:p>
    <w:p>
      <w:pPr>
        <w:spacing w:after="40"/>
      </w:pPr>
    </w:p>
    <w:p>
      <w:pPr>
        <w:pStyle w:val="Heading1"/>
      </w:pPr>
      <w:r>
        <w:t>4. Säkerhetsåtgärder</w:t>
      </w:r>
    </w:p>
    <w:p>
      <w:pPr>
        <w:spacing w:after="40"/>
      </w:pPr>
      <w:r>
        <w:t>4.1 Biträdet ska vidta lämpliga tekniska och organisatoriska åtgärder enligt artikel 32.</w:t>
      </w:r>
    </w:p>
    <w:p>
      <w:pPr>
        <w:spacing w:after="40"/>
      </w:pPr>
      <w:r>
        <w:t>4.2 Åtgärderna specificeras i Bilaga B och ska minst omfatta kryptering i vila och under</w:t>
      </w:r>
    </w:p>
    <w:p>
      <w:pPr>
        <w:spacing w:after="40"/>
      </w:pPr>
      <w:r>
        <w:t xml:space="preserve">    överföring, behörighetsstyrning, loggning, sårbarhetshantering, säkerhetskopiering</w:t>
      </w:r>
    </w:p>
    <w:p>
      <w:pPr>
        <w:spacing w:after="40"/>
      </w:pPr>
      <w:r>
        <w:t xml:space="preserve">    och regelbunden testning.</w:t>
      </w:r>
    </w:p>
    <w:p>
      <w:pPr>
        <w:spacing w:after="40"/>
      </w:pPr>
      <w:r>
        <w:t>4.3 Väsentliga försämringar av skyddsnivån ska aviseras skriftligen i förväg.</w:t>
      </w:r>
    </w:p>
    <w:p>
      <w:pPr>
        <w:spacing w:after="40"/>
      </w:pPr>
    </w:p>
    <w:p>
      <w:pPr>
        <w:pStyle w:val="Heading1"/>
      </w:pPr>
      <w:r>
        <w:t>5. Underbiträden</w:t>
      </w:r>
    </w:p>
    <w:p>
      <w:pPr>
        <w:spacing w:after="40"/>
      </w:pPr>
      <w:r>
        <w:t>5.1 Ansvarig lämnar [specifikt / generellt] förhandsgodkännande till underbiträden.</w:t>
      </w:r>
    </w:p>
    <w:p>
      <w:pPr>
        <w:spacing w:after="40"/>
      </w:pPr>
      <w:r>
        <w:t>5.2 Aktuella underbiträden framgår av Bilaga C.</w:t>
      </w:r>
    </w:p>
    <w:p>
      <w:pPr>
        <w:spacing w:after="40"/>
      </w:pPr>
      <w:r>
        <w:t>5.3 Biträdet ska underrätta Ansvarig minst [30] dagar innan ett underbiträde tillkommer</w:t>
      </w:r>
    </w:p>
    <w:p>
      <w:pPr>
        <w:spacing w:after="40"/>
      </w:pPr>
      <w:r>
        <w:t xml:space="preserve">    eller byts ut. Ansvarig har rätt att invända inom [14] dagar.</w:t>
      </w:r>
    </w:p>
    <w:p>
      <w:pPr>
        <w:spacing w:after="40"/>
      </w:pPr>
      <w:r>
        <w:t>5.4 Biträdet ansvarar för underbiträdets behandling som för sin egen och ska ålägga</w:t>
      </w:r>
    </w:p>
    <w:p>
      <w:pPr>
        <w:spacing w:after="40"/>
      </w:pPr>
      <w:r>
        <w:t xml:space="preserve">    underbiträdet minst samma skyldigheter som följer av detta avtal.</w:t>
      </w:r>
    </w:p>
    <w:p>
      <w:pPr>
        <w:spacing w:after="40"/>
      </w:pPr>
    </w:p>
    <w:p>
      <w:pPr>
        <w:pStyle w:val="Heading1"/>
      </w:pPr>
      <w:r>
        <w:t>6. Överföring till tredjeland</w:t>
      </w:r>
    </w:p>
    <w:p>
      <w:pPr>
        <w:spacing w:after="40"/>
      </w:pPr>
      <w:r>
        <w:t>6.1 Behandling sker inom EU/EES om inte annat anges i Bilaga C.</w:t>
      </w:r>
    </w:p>
    <w:p>
      <w:pPr>
        <w:spacing w:after="40"/>
      </w:pPr>
      <w:r>
        <w:t>6.2 Överföring till tredjeland förutsätter giltig överföringsgrund, t.ex. beslut om</w:t>
      </w:r>
    </w:p>
    <w:p>
      <w:pPr>
        <w:spacing w:after="40"/>
      </w:pPr>
      <w:r>
        <w:t xml:space="preserve">    adekvat skyddsnivå eller EU-kommissionens standardavtalsklausuler, samt en</w:t>
      </w:r>
    </w:p>
    <w:p>
      <w:pPr>
        <w:spacing w:after="40"/>
      </w:pPr>
      <w:r>
        <w:t xml:space="preserve">    dokumenterad överföringsbedömning och kompletterande skyddsåtgärder vid behov.</w:t>
      </w:r>
    </w:p>
    <w:p>
      <w:pPr>
        <w:spacing w:after="40"/>
      </w:pPr>
    </w:p>
    <w:p>
      <w:pPr>
        <w:pStyle w:val="Heading1"/>
      </w:pPr>
      <w:r>
        <w:t>7. Bistånd till Ansvarig</w:t>
      </w:r>
    </w:p>
    <w:p>
      <w:pPr>
        <w:spacing w:after="40"/>
      </w:pPr>
      <w:r>
        <w:t>Biträdet ska med hänsyn till behandlingens art bistå Ansvarig med:</w:t>
      </w:r>
    </w:p>
    <w:p>
      <w:pPr>
        <w:spacing w:after="40"/>
      </w:pPr>
      <w:r>
        <w:t>a) att besvara begäran från registrerade (tillgång, rättelse, radering, dataportabilitet,</w:t>
      </w:r>
    </w:p>
    <w:p>
      <w:pPr>
        <w:spacing w:after="40"/>
      </w:pPr>
      <w:r>
        <w:t xml:space="preserve">   invändning och begränsning),</w:t>
      </w:r>
    </w:p>
    <w:p>
      <w:pPr>
        <w:spacing w:after="40"/>
      </w:pPr>
      <w:r>
        <w:t>b) konsekvensbedömning avseende dataskydd (DPIA) och förhandssamråd,</w:t>
      </w:r>
    </w:p>
    <w:p>
      <w:pPr>
        <w:spacing w:after="40"/>
      </w:pPr>
      <w:r>
        <w:t>c) säkerhetsåtgärder och hantering av personuppgiftsincidenter.</w:t>
      </w:r>
    </w:p>
    <w:p>
      <w:pPr>
        <w:spacing w:after="40"/>
      </w:pPr>
    </w:p>
    <w:p>
      <w:pPr>
        <w:pStyle w:val="Heading1"/>
      </w:pPr>
      <w:r>
        <w:t>8. Personuppgiftsincident</w:t>
      </w:r>
    </w:p>
    <w:p>
      <w:pPr>
        <w:spacing w:after="40"/>
      </w:pPr>
      <w:r>
        <w:t>8.1 Biträdet ska underrätta Ansvarig utan onödigt dröjsmål, och senast inom [24] timmar</w:t>
      </w:r>
    </w:p>
    <w:p>
      <w:pPr>
        <w:spacing w:after="40"/>
      </w:pPr>
      <w:r>
        <w:t xml:space="preserve">    från upptäckt av en personuppgiftsincident.</w:t>
      </w:r>
    </w:p>
    <w:p>
      <w:pPr>
        <w:spacing w:after="40"/>
      </w:pPr>
      <w:r>
        <w:t>8.2 Underrättelsen ska innehålla incidentens art, berörda kategorier och ungefärligt</w:t>
      </w:r>
    </w:p>
    <w:p>
      <w:pPr>
        <w:spacing w:after="40"/>
      </w:pPr>
      <w:r>
        <w:t xml:space="preserve">    antal registrerade, sannolika konsekvenser samt vidtagna och planerade åtgärder.</w:t>
      </w:r>
    </w:p>
    <w:p>
      <w:pPr>
        <w:spacing w:after="40"/>
      </w:pPr>
      <w:r>
        <w:t>8.3 Biträdet ska dokumentera incidenten och bistå Ansvarig vid anmälan till</w:t>
      </w:r>
    </w:p>
    <w:p>
      <w:pPr>
        <w:spacing w:after="40"/>
      </w:pPr>
      <w:r>
        <w:t xml:space="preserve">    Integritetsskyddsmyndigheten och vid information till registrerade.</w:t>
      </w:r>
    </w:p>
    <w:p>
      <w:pPr>
        <w:spacing w:after="40"/>
      </w:pPr>
    </w:p>
    <w:p>
      <w:pPr>
        <w:pStyle w:val="Heading1"/>
      </w:pPr>
      <w:r>
        <w:t>9. Revision och kontroll</w:t>
      </w:r>
    </w:p>
    <w:p>
      <w:pPr>
        <w:spacing w:after="40"/>
      </w:pPr>
      <w:r>
        <w:t>9.1 Biträdet ska på begäran tillhandahålla den information som krävs för att visa</w:t>
      </w:r>
    </w:p>
    <w:p>
      <w:pPr>
        <w:spacing w:after="40"/>
      </w:pPr>
      <w:r>
        <w:t xml:space="preserve">    efterlevnad av artikel 28.</w:t>
      </w:r>
    </w:p>
    <w:p>
      <w:pPr>
        <w:spacing w:after="40"/>
      </w:pPr>
      <w:r>
        <w:t>9.2 Ansvarig, eller av Ansvarig anlitad oberoende revisor, har rätt att genomföra</w:t>
      </w:r>
    </w:p>
    <w:p>
      <w:pPr>
        <w:spacing w:after="40"/>
      </w:pPr>
      <w:r>
        <w:t xml:space="preserve">    granskning eller inspektion högst [en] gång per år, samt vid inträffad incident.</w:t>
      </w:r>
    </w:p>
    <w:p>
      <w:pPr>
        <w:spacing w:after="40"/>
      </w:pPr>
      <w:r>
        <w:t>9.3 Aktuella tredjepartsrevisioner (t.ex. ISO 27001, SOC 2) kan ersätta granskning</w:t>
      </w:r>
    </w:p>
    <w:p>
      <w:pPr>
        <w:spacing w:after="40"/>
      </w:pPr>
      <w:r>
        <w:t xml:space="preserve">    om de täcker den aktuella behandlingen.</w:t>
      </w:r>
    </w:p>
    <w:p>
      <w:pPr>
        <w:spacing w:after="40"/>
      </w:pPr>
    </w:p>
    <w:p>
      <w:pPr>
        <w:pStyle w:val="Heading1"/>
      </w:pPr>
      <w:r>
        <w:t>10. Avtalstid, radering och återlämnande</w:t>
      </w:r>
    </w:p>
    <w:p>
      <w:pPr>
        <w:spacing w:after="40"/>
      </w:pPr>
      <w:r>
        <w:t>10.1 Avtalet gäller så länge Biträdet behandlar personuppgifter för Ansvarigs räkning.</w:t>
      </w:r>
    </w:p>
    <w:p>
      <w:pPr>
        <w:spacing w:after="40"/>
      </w:pPr>
      <w:r>
        <w:t>10.2 Vid upphörande ska Biträdet, enligt Ansvarigs val, radera eller återlämna samtliga</w:t>
      </w:r>
    </w:p>
    <w:p>
      <w:pPr>
        <w:spacing w:after="40"/>
      </w:pPr>
      <w:r>
        <w:t xml:space="preserve">     personuppgifter, inklusive kopior, senast [30] dagar efter upphörandet, om inte</w:t>
      </w:r>
    </w:p>
    <w:p>
      <w:pPr>
        <w:spacing w:after="40"/>
      </w:pPr>
      <w:r>
        <w:t xml:space="preserve">     lagring krävs enligt unions- eller nationell rätt.</w:t>
      </w:r>
    </w:p>
    <w:p>
      <w:pPr>
        <w:spacing w:after="40"/>
      </w:pPr>
      <w:r>
        <w:t>10.3 Radering ska skriftligen bekräftas.</w:t>
      </w:r>
    </w:p>
    <w:p>
      <w:pPr>
        <w:spacing w:after="40"/>
      </w:pPr>
    </w:p>
    <w:p>
      <w:pPr>
        <w:pStyle w:val="Heading1"/>
      </w:pPr>
      <w:r>
        <w:t>11. Ansvar och tillämplig lag</w:t>
      </w:r>
    </w:p>
    <w:p>
      <w:pPr>
        <w:spacing w:after="40"/>
      </w:pPr>
      <w:r>
        <w:t>Ansvarsfördelning följer huvudavtalet. Svensk lag tillämpas. Tvist avgörs av</w:t>
      </w:r>
    </w:p>
    <w:p>
      <w:pPr>
        <w:spacing w:after="40"/>
      </w:pPr>
      <w:r>
        <w:t>[allmän domstol / skiljeförfarande] med [ort] som första instans.</w:t>
      </w:r>
    </w:p>
    <w:p>
      <w:pPr>
        <w:spacing w:after="40"/>
      </w:pPr>
    </w:p>
    <w:p>
      <w:pPr>
        <w:spacing w:after="40"/>
      </w:pPr>
      <w:r>
        <w:t>Underskrifter</w:t>
      </w:r>
    </w:p>
    <w:p>
      <w:pPr>
        <w:spacing w:after="40"/>
      </w:pPr>
      <w:r>
        <w:t>Ansvarig: ______________________  Datum: __________  Namnförtydligande: __________</w:t>
      </w:r>
    </w:p>
    <w:p>
      <w:pPr>
        <w:spacing w:after="40"/>
      </w:pPr>
      <w:r>
        <w:t>Biträdet: ______________________  Datum: __________  Namnförtydligande: __________</w:t>
      </w:r>
    </w:p>
    <w:p>
      <w:pPr>
        <w:spacing w:after="40"/>
      </w:pPr>
    </w:p>
    <w:p>
      <w:pPr>
        <w:spacing w:after="40"/>
      </w:pPr>
      <w:r>
        <w:t>---</w:t>
      </w:r>
    </w:p>
    <w:p>
      <w:pPr>
        <w:spacing w:after="40"/>
      </w:pPr>
    </w:p>
    <w:p>
      <w:pPr>
        <w:pStyle w:val="Heading1"/>
      </w:pPr>
      <w:r>
        <w:t>Bilaga A – Behandlingens omfattning</w:t>
      </w:r>
    </w:p>
    <w:p>
      <w:pPr>
        <w:spacing w:after="40"/>
      </w:pPr>
      <w:r>
        <w:t>Ändamål: [t.ex. leverans av support- och AI-assistanstjänst]</w:t>
      </w:r>
    </w:p>
    <w:p>
      <w:pPr>
        <w:spacing w:after="40"/>
      </w:pPr>
      <w:r>
        <w:t>Behandlingens art: [insamling, lagring, analys, generering av svar]</w:t>
      </w:r>
    </w:p>
    <w:p>
      <w:pPr>
        <w:spacing w:after="40"/>
      </w:pPr>
      <w:r>
        <w:t>Varaktighet: [avtalstiden + X dagar]</w:t>
      </w:r>
    </w:p>
    <w:p>
      <w:pPr>
        <w:spacing w:after="40"/>
      </w:pPr>
      <w:r>
        <w:t>Kategorier av registrerade: [kunder, anställda, kontaktpersoner]</w:t>
      </w:r>
    </w:p>
    <w:p>
      <w:pPr>
        <w:spacing w:after="40"/>
      </w:pPr>
      <w:r>
        <w:t>Kategorier av personuppgifter: [namn, e-post, telefonnummer, ärendetext, IP-adress]</w:t>
      </w:r>
    </w:p>
    <w:p>
      <w:pPr>
        <w:spacing w:after="40"/>
      </w:pPr>
      <w:r>
        <w:t>Särskilda kategorier: [Ja/Nej – om ja, specificera och ange rättslig grund]</w:t>
      </w:r>
    </w:p>
    <w:p>
      <w:pPr>
        <w:spacing w:after="40"/>
      </w:pPr>
      <w:r>
        <w:t>Instruktioner: [t.ex. inga uppgifter får användas för modellträning; loggning av</w:t>
      </w:r>
    </w:p>
    <w:p>
      <w:pPr>
        <w:spacing w:after="40"/>
      </w:pPr>
      <w:r>
        <w:t>prompts sker i max X dagar; endast behandling inom EU/EES]</w:t>
      </w:r>
    </w:p>
    <w:p>
      <w:pPr>
        <w:spacing w:after="40"/>
      </w:pPr>
    </w:p>
    <w:p>
      <w:pPr>
        <w:pStyle w:val="Heading1"/>
      </w:pPr>
      <w:r>
        <w:t>Bilaga B – Tekniska och organisatoriska säkerhetsåtgärder</w:t>
      </w:r>
    </w:p>
    <w:p>
      <w:pPr>
        <w:spacing w:after="40"/>
      </w:pPr>
      <w:r>
        <w:t>- Kryptering: [TLS 1.2+ under överföring, AES-256 i vila]</w:t>
      </w:r>
    </w:p>
    <w:p>
      <w:pPr>
        <w:spacing w:after="40"/>
      </w:pPr>
      <w:r>
        <w:t>- Behörighet: [rollbaserad åtkomst, MFA, principen om minsta privilegium]</w:t>
      </w:r>
    </w:p>
    <w:p>
      <w:pPr>
        <w:spacing w:after="40"/>
      </w:pPr>
      <w:r>
        <w:t>- Loggning: [åtkomstloggar, retention X månader, manipuleringsskydd]</w:t>
      </w:r>
    </w:p>
    <w:p>
      <w:pPr>
        <w:spacing w:after="40"/>
      </w:pPr>
      <w:r>
        <w:t>- Kontinuitet: [backupfrekvens, RTO/RPO, testad återläsning]</w:t>
      </w:r>
    </w:p>
    <w:p>
      <w:pPr>
        <w:spacing w:after="40"/>
      </w:pPr>
      <w:r>
        <w:t>- Personal: [bakgrundskontroll, sekretessavtal, årlig utbildning]</w:t>
      </w:r>
    </w:p>
    <w:p>
      <w:pPr>
        <w:spacing w:after="40"/>
      </w:pPr>
      <w:r>
        <w:t>- Sårbarhetshantering: [patchning inom X dagar, penetrationstest årligen]</w:t>
      </w:r>
    </w:p>
    <w:p>
      <w:pPr>
        <w:spacing w:after="40"/>
      </w:pPr>
      <w:r>
        <w:t>- Certifieringar: [ISO 27001 / SOC 2 Type II / annan]</w:t>
      </w:r>
    </w:p>
    <w:p>
      <w:pPr>
        <w:spacing w:after="40"/>
      </w:pPr>
    </w:p>
    <w:p>
      <w:pPr>
        <w:pStyle w:val="Heading1"/>
      </w:pPr>
      <w:r>
        <w:t>Bilaga C – Underbiträden</w:t>
      </w:r>
    </w:p>
    <w:p>
      <w:pPr>
        <w:spacing w:after="40"/>
      </w:pPr>
      <w:r>
        <w:t>| Underbiträde | Tjänst | Behandlingsland | Överföringsgrund |</w:t>
      </w:r>
    </w:p>
    <w:p>
      <w:pPr>
        <w:spacing w:after="40"/>
      </w:pPr>
      <w:r>
        <w:t>| --- | --- | --- | --- |</w:t>
      </w:r>
    </w:p>
    <w:p>
      <w:pPr>
        <w:spacing w:after="40"/>
      </w:pPr>
      <w:r>
        <w:t>| [Namn] | [Molndrift] | [Sverige/EU] | [Inom EU/EES] |</w:t>
      </w:r>
    </w:p>
    <w:p>
      <w:pPr>
        <w:spacing w:after="40"/>
      </w:pPr>
      <w:r>
        <w:t>| [Namn] | [Modellinferens] | [USA] | [SCC + kompletterande åtgärder] |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