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Checklista – EU:s AI-förordning (EU AI Act)</w:t>
      </w:r>
    </w:p>
    <w:p>
      <w:pPr>
        <w:spacing w:after="40"/>
      </w:pPr>
    </w:p>
    <w:p>
      <w:pPr>
        <w:spacing w:after="40"/>
      </w:pPr>
      <w:r>
        <w:t>Organisation: [Företagsnamn]</w:t>
      </w:r>
    </w:p>
    <w:p>
      <w:pPr>
        <w:spacing w:after="40"/>
      </w:pPr>
      <w:r>
        <w:t>Ansvarig: [Roll, t.ex. CIO/CTO]</w:t>
      </w:r>
    </w:p>
    <w:p>
      <w:pPr>
        <w:spacing w:after="40"/>
      </w:pPr>
      <w:r>
        <w:t>Granskare: [DPO / jurist]</w:t>
      </w:r>
    </w:p>
    <w:p>
      <w:pPr>
        <w:spacing w:after="40"/>
      </w:pPr>
      <w:r>
        <w:t>Datum: [ÅÅÅÅ-MM-DD]</w:t>
      </w:r>
    </w:p>
    <w:p>
      <w:pPr>
        <w:spacing w:after="40"/>
      </w:pPr>
      <w:r>
        <w:t>Version: 1.0</w:t>
      </w:r>
    </w:p>
    <w:p>
      <w:pPr>
        <w:spacing w:after="40"/>
      </w:pPr>
    </w:p>
    <w:p>
      <w:pPr>
        <w:pStyle w:val="Heading1"/>
      </w:pPr>
      <w:r>
        <w:t>1. Inventering</w:t>
      </w:r>
    </w:p>
    <w:p>
      <w:pPr>
        <w:spacing w:after="40"/>
      </w:pPr>
      <w:r>
        <w:t>[ ] Alla AI-system är listade i ett register (namn, syfte, ägare, leverantör).</w:t>
      </w:r>
    </w:p>
    <w:p>
      <w:pPr>
        <w:spacing w:after="40"/>
      </w:pPr>
      <w:r>
        <w:t>[ ] Inbyggd AI i befintliga SaaS-verktyg är inventerad (CRM, HR, support, kontorspaket).</w:t>
      </w:r>
    </w:p>
    <w:p>
      <w:pPr>
        <w:spacing w:after="40"/>
      </w:pPr>
      <w:r>
        <w:t>[ ] Egenutvecklade modeller och AI-agenter är med i registret.</w:t>
      </w:r>
    </w:p>
    <w:p>
      <w:pPr>
        <w:spacing w:after="40"/>
      </w:pPr>
      <w:r>
        <w:t>[ ] Datakällor och kategorier av data per system är dokumenterade.</w:t>
      </w:r>
    </w:p>
    <w:p>
      <w:pPr>
        <w:spacing w:after="40"/>
      </w:pPr>
      <w:r>
        <w:t>[ ] Registret har en utpekad ägare och uppdateras minst kvartalsvis.</w:t>
      </w:r>
    </w:p>
    <w:p>
      <w:pPr>
        <w:spacing w:after="40"/>
      </w:pPr>
    </w:p>
    <w:p>
      <w:pPr>
        <w:pStyle w:val="Heading1"/>
      </w:pPr>
      <w:r>
        <w:t>2. Roll enligt förordningen</w:t>
      </w:r>
    </w:p>
    <w:p>
      <w:pPr>
        <w:spacing w:after="40"/>
      </w:pPr>
      <w:r>
        <w:t>[ ] Per system: är vi leverantör, tillhandahållare, importör eller distributör?</w:t>
      </w:r>
    </w:p>
    <w:p>
      <w:pPr>
        <w:spacing w:after="40"/>
      </w:pPr>
      <w:r>
        <w:t>[ ] Fall där vi väsentligt ändrar ett system och därmed blir leverantör är identifierade.</w:t>
      </w:r>
    </w:p>
    <w:p>
      <w:pPr>
        <w:spacing w:after="40"/>
      </w:pPr>
      <w:r>
        <w:t>[ ] Rollen är dokumenterad per system, inte bara på bolagsnivå.</w:t>
      </w:r>
    </w:p>
    <w:p>
      <w:pPr>
        <w:spacing w:after="40"/>
      </w:pPr>
    </w:p>
    <w:p>
      <w:pPr>
        <w:pStyle w:val="Heading1"/>
      </w:pPr>
      <w:r>
        <w:t>3. Riskklassificering</w:t>
      </w:r>
    </w:p>
    <w:p>
      <w:pPr>
        <w:spacing w:after="40"/>
      </w:pPr>
      <w:r>
        <w:t>[ ] Inga system faller under förbjuden AI (social poängsättning, manipulativa tekniker,</w:t>
      </w:r>
    </w:p>
    <w:p>
      <w:pPr>
        <w:spacing w:after="40"/>
      </w:pPr>
      <w:r>
        <w:t xml:space="preserve">    känsloigenkänning på arbetsplats/skola, otillåten biometrisk kategorisering).</w:t>
      </w:r>
    </w:p>
    <w:p>
      <w:pPr>
        <w:spacing w:after="40"/>
      </w:pPr>
      <w:r>
        <w:t>[ ] Högrisksystem är identifierade (rekrytering, kreditbedömning, utbildning,</w:t>
      </w:r>
    </w:p>
    <w:p>
      <w:pPr>
        <w:spacing w:after="40"/>
      </w:pPr>
      <w:r>
        <w:t xml:space="preserve">    kritisk infrastruktur, tillgång till samhällstjänster, viss biometri).</w:t>
      </w:r>
    </w:p>
    <w:p>
      <w:pPr>
        <w:spacing w:after="40"/>
      </w:pPr>
      <w:r>
        <w:t>[ ] System med transparenskrav är identifierade (chattbotar, syntetiskt innehåll).</w:t>
      </w:r>
    </w:p>
    <w:p>
      <w:pPr>
        <w:spacing w:after="40"/>
      </w:pPr>
      <w:r>
        <w:t>[ ] Klassificeringen är daterad, motiverad i text och godkänd av ansvarig.</w:t>
      </w:r>
    </w:p>
    <w:p>
      <w:pPr>
        <w:spacing w:after="40"/>
      </w:pPr>
    </w:p>
    <w:p>
      <w:pPr>
        <w:pStyle w:val="Heading1"/>
      </w:pPr>
      <w:r>
        <w:t>4. Krav på högrisksystem (om tillämpligt)</w:t>
      </w:r>
    </w:p>
    <w:p>
      <w:pPr>
        <w:spacing w:after="40"/>
      </w:pPr>
      <w:r>
        <w:t>[ ] Riskhanteringssystem över hela livscykeln är etablerat.</w:t>
      </w:r>
    </w:p>
    <w:p>
      <w:pPr>
        <w:spacing w:after="40"/>
      </w:pPr>
      <w:r>
        <w:t>[ ] Datastyrning: träningsdata är relevant, representativ och kontrollerad för bias.</w:t>
      </w:r>
    </w:p>
    <w:p>
      <w:pPr>
        <w:spacing w:after="40"/>
      </w:pPr>
      <w:r>
        <w:t>[ ] Teknisk dokumentation finns och hålls aktuell.</w:t>
      </w:r>
    </w:p>
    <w:p>
      <w:pPr>
        <w:spacing w:after="40"/>
      </w:pPr>
      <w:r>
        <w:t>[ ] Automatisk loggning är påslagen och loggar sparas enligt policy.</w:t>
      </w:r>
    </w:p>
    <w:p>
      <w:pPr>
        <w:spacing w:after="40"/>
      </w:pPr>
      <w:r>
        <w:t>[ ] Mänsklig tillsyn är designad in – med befogenhet att stoppa systemet.</w:t>
      </w:r>
    </w:p>
    <w:p>
      <w:pPr>
        <w:spacing w:after="40"/>
      </w:pPr>
      <w:r>
        <w:t>[ ] Noggrannhet, robusthet och cybersäkerhet är testade och dokumenterade.</w:t>
      </w:r>
    </w:p>
    <w:p>
      <w:pPr>
        <w:spacing w:after="40"/>
      </w:pPr>
      <w:r>
        <w:t>[ ] Bruksanvisning till tillhandahållare finns (om vi är leverantör).</w:t>
      </w:r>
    </w:p>
    <w:p>
      <w:pPr>
        <w:spacing w:after="40"/>
      </w:pPr>
      <w:r>
        <w:t>[ ] Överensstämmelsebedömning och CE-märkning är planerad/genomförd.</w:t>
      </w:r>
    </w:p>
    <w:p>
      <w:pPr>
        <w:spacing w:after="40"/>
      </w:pPr>
    </w:p>
    <w:p>
      <w:pPr>
        <w:pStyle w:val="Heading1"/>
      </w:pPr>
      <w:r>
        <w:t>5. Transparens</w:t>
      </w:r>
    </w:p>
    <w:p>
      <w:pPr>
        <w:spacing w:after="40"/>
      </w:pPr>
      <w:r>
        <w:t>[ ] Användare informeras tydligt när de interagerar med AI.</w:t>
      </w:r>
    </w:p>
    <w:p>
      <w:pPr>
        <w:spacing w:after="40"/>
      </w:pPr>
      <w:r>
        <w:t>[ ] AI-genererat eller manipulerat innehåll märks maskinläsbart och synligt.</w:t>
      </w:r>
    </w:p>
    <w:p>
      <w:pPr>
        <w:spacing w:after="40"/>
      </w:pPr>
      <w:r>
        <w:t>[ ] Anställda informeras när AI används i arbetsledning eller bedömning.</w:t>
      </w:r>
    </w:p>
    <w:p>
      <w:pPr>
        <w:spacing w:after="40"/>
      </w:pPr>
    </w:p>
    <w:p>
      <w:pPr>
        <w:pStyle w:val="Heading1"/>
      </w:pPr>
      <w:r>
        <w:t>6. AI-kompetens (Art. 4)</w:t>
      </w:r>
    </w:p>
    <w:p>
      <w:pPr>
        <w:spacing w:after="40"/>
      </w:pPr>
      <w:r>
        <w:t>[ ] Utbildningsplan finns för medarbetare som utvecklar eller använder AI.</w:t>
      </w:r>
    </w:p>
    <w:p>
      <w:pPr>
        <w:spacing w:after="40"/>
      </w:pPr>
      <w:r>
        <w:t>[ ] Genomförd utbildning är dokumenterad per roll.</w:t>
      </w:r>
    </w:p>
    <w:p>
      <w:pPr>
        <w:spacing w:after="40"/>
      </w:pPr>
      <w:r>
        <w:t>[ ] Nyanställda får AI-introduktion som del av onboarding.</w:t>
      </w:r>
    </w:p>
    <w:p>
      <w:pPr>
        <w:spacing w:after="40"/>
      </w:pPr>
    </w:p>
    <w:p>
      <w:pPr>
        <w:pStyle w:val="Heading1"/>
      </w:pPr>
      <w:r>
        <w:t>7. Leverantörer och GPAI-modeller</w:t>
      </w:r>
    </w:p>
    <w:p>
      <w:pPr>
        <w:spacing w:after="40"/>
      </w:pPr>
      <w:r>
        <w:t>[ ] Avtal med AI-leverantörer innehåller dokumentations- och informationskrav.</w:t>
      </w:r>
    </w:p>
    <w:p>
      <w:pPr>
        <w:spacing w:after="40"/>
      </w:pPr>
      <w:r>
        <w:t>[ ] Modellkort/systemkort är inhämtade för centrala modeller.</w:t>
      </w:r>
    </w:p>
    <w:p>
      <w:pPr>
        <w:spacing w:after="40"/>
      </w:pPr>
      <w:r>
        <w:t>[ ] Leverantören meddelar oss vid väsentliga modelländringar.</w:t>
      </w:r>
    </w:p>
    <w:p>
      <w:pPr>
        <w:spacing w:after="40"/>
      </w:pPr>
      <w:r>
        <w:t>[ ] Datalokalisering och underbiträden är kartlagda (se PUB-avtal).</w:t>
      </w:r>
    </w:p>
    <w:p>
      <w:pPr>
        <w:spacing w:after="40"/>
      </w:pPr>
    </w:p>
    <w:p>
      <w:pPr>
        <w:pStyle w:val="Heading1"/>
      </w:pPr>
      <w:r>
        <w:t>8. Drift, uppföljning och incidenter</w:t>
      </w:r>
    </w:p>
    <w:p>
      <w:pPr>
        <w:spacing w:after="40"/>
      </w:pPr>
      <w:r>
        <w:t>[ ] Process för övervakning efter driftsättning är beskriven.</w:t>
      </w:r>
    </w:p>
    <w:p>
      <w:pPr>
        <w:spacing w:after="40"/>
      </w:pPr>
      <w:r>
        <w:t>[ ] Process för rapportering av allvarliga incidenter finns och är testad.</w:t>
      </w:r>
    </w:p>
    <w:p>
      <w:pPr>
        <w:spacing w:after="40"/>
      </w:pPr>
      <w:r>
        <w:t>[ ] Klassificering och dokumentation omprövas minst årligen.</w:t>
      </w:r>
    </w:p>
    <w:p>
      <w:pPr>
        <w:spacing w:after="40"/>
      </w:pPr>
      <w:r>
        <w:t>[ ] Ansvar och eskaleringsväg är skriftligt utpekade.</w:t>
      </w:r>
    </w:p>
    <w:p>
      <w:pPr>
        <w:spacing w:after="40"/>
      </w:pPr>
    </w:p>
    <w:p>
      <w:pPr>
        <w:pStyle w:val="Heading1"/>
      </w:pPr>
      <w:r>
        <w:t>Tidslinje att bevaka</w:t>
      </w:r>
    </w:p>
    <w:p>
      <w:pPr>
        <w:spacing w:after="40"/>
      </w:pPr>
      <w:r>
        <w:t>[ ] Förbjuden AI och AI-kompetenskrav – gäller sedan februari 2025.</w:t>
      </w:r>
    </w:p>
    <w:p>
      <w:pPr>
        <w:spacing w:after="40"/>
      </w:pPr>
      <w:r>
        <w:t>[ ] GPAI-skyldigheter – gäller sedan augusti 2025.</w:t>
      </w:r>
    </w:p>
    <w:p>
      <w:pPr>
        <w:spacing w:after="40"/>
      </w:pPr>
      <w:r>
        <w:t>[ ] Högriskkrav och nationell tillsyn – fasas in 2026–2027.</w:t>
      </w:r>
    </w:p>
    <w:p>
      <w:pPr>
        <w:spacing w:after="40"/>
      </w:pPr>
      <w:r>
        <w:t>[ ] Pågående ändringsförslag (digital omnibus) bevakas kvartalsvis.</w:t>
      </w:r>
    </w:p>
    <w:p>
      <w:pPr>
        <w:spacing w:after="40"/>
      </w:pPr>
    </w:p>
    <w:p>
      <w:pPr>
        <w:spacing w:after="40"/>
      </w:pPr>
      <w:r>
        <w:t>Kommentarer och avvikelser:</w:t>
      </w:r>
    </w:p>
    <w:p>
      <w:pPr>
        <w:spacing w:after="40"/>
      </w:pPr>
      <w:r>
        <w:t>[Fritext]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