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DORA-checklista – digital operativ motståndskraft</w:t>
      </w:r>
    </w:p>
    <w:p>
      <w:pPr>
        <w:spacing w:after="40"/>
      </w:pPr>
    </w:p>
    <w:p>
      <w:pPr>
        <w:spacing w:after="40"/>
      </w:pPr>
      <w:r>
        <w:t>Entitet: [Företagsnamn]</w:t>
      </w:r>
    </w:p>
    <w:p>
      <w:pPr>
        <w:spacing w:after="40"/>
      </w:pPr>
      <w:r>
        <w:t>Tillsynsmyndighet: [t.ex. Finansinspektionen]</w:t>
      </w:r>
    </w:p>
    <w:p>
      <w:pPr>
        <w:spacing w:after="40"/>
      </w:pPr>
      <w:r>
        <w:t>Ansvarig: [Roll]</w:t>
      </w:r>
    </w:p>
    <w:p>
      <w:pPr>
        <w:spacing w:after="40"/>
      </w:pPr>
      <w:r>
        <w:t>Godkänd av ledningsorgan: [Datum]</w:t>
      </w:r>
    </w:p>
    <w:p>
      <w:pPr>
        <w:spacing w:after="40"/>
      </w:pPr>
      <w:r>
        <w:t>Version: 1.0</w:t>
      </w:r>
    </w:p>
    <w:p>
      <w:pPr>
        <w:spacing w:after="40"/>
      </w:pPr>
    </w:p>
    <w:p>
      <w:pPr>
        <w:pStyle w:val="Heading1"/>
      </w:pPr>
      <w:r>
        <w:t>1. Styrning</w:t>
      </w:r>
    </w:p>
    <w:p>
      <w:pPr>
        <w:spacing w:after="40"/>
      </w:pPr>
      <w:r>
        <w:t>[ ] Ledningsorganet har formellt antagit ICT-riskhanteringsramverket.</w:t>
      </w:r>
    </w:p>
    <w:p>
      <w:pPr>
        <w:spacing w:after="40"/>
      </w:pPr>
      <w:r>
        <w:t>[ ] Roller och ansvar för ICT-risk är dokumenterade (inkl. oberoende kontrollfunktion).</w:t>
      </w:r>
    </w:p>
    <w:p>
      <w:pPr>
        <w:spacing w:after="40"/>
      </w:pPr>
      <w:r>
        <w:t>[ ] Ledningen får återkommande rapportering om ICT-risk och incidenter.</w:t>
      </w:r>
    </w:p>
    <w:p>
      <w:pPr>
        <w:spacing w:after="40"/>
      </w:pPr>
      <w:r>
        <w:t>[ ] Budget för digital motståndskraft är avsatt och följs upp.</w:t>
      </w:r>
    </w:p>
    <w:p>
      <w:pPr>
        <w:spacing w:after="40"/>
      </w:pPr>
      <w:r>
        <w:t>[ ] Ledning och styrelse har genomgått utbildning om ICT-risk.</w:t>
      </w:r>
    </w:p>
    <w:p>
      <w:pPr>
        <w:spacing w:after="40"/>
      </w:pPr>
    </w:p>
    <w:p>
      <w:pPr>
        <w:pStyle w:val="Heading1"/>
      </w:pPr>
      <w:r>
        <w:t>2. ICT-riskhanteringsramverk</w:t>
      </w:r>
    </w:p>
    <w:p>
      <w:pPr>
        <w:spacing w:after="40"/>
      </w:pPr>
      <w:r>
        <w:t>[ ] Kritiska eller viktiga funktioner är identifierade och dokumenterade.</w:t>
      </w:r>
    </w:p>
    <w:p>
      <w:pPr>
        <w:spacing w:after="40"/>
      </w:pPr>
      <w:r>
        <w:t>[ ] Alla ICT-tillgångar som stödjer dessa funktioner är kartlagda.</w:t>
      </w:r>
    </w:p>
    <w:p>
      <w:pPr>
        <w:spacing w:after="40"/>
      </w:pPr>
      <w:r>
        <w:t>[ ] Skyddsåtgärder finns: åtkomststyrning, kryptering, segmentering, patchning.</w:t>
      </w:r>
    </w:p>
    <w:p>
      <w:pPr>
        <w:spacing w:after="40"/>
      </w:pPr>
      <w:r>
        <w:t>[ ] Detektering: logghantering, larm och tröskelvärden är på plats.</w:t>
      </w:r>
    </w:p>
    <w:p>
      <w:pPr>
        <w:spacing w:after="40"/>
      </w:pPr>
      <w:r>
        <w:t>[ ] Kontinuitets- och katastrofplaner är dokumenterade och testade.</w:t>
      </w:r>
    </w:p>
    <w:p>
      <w:pPr>
        <w:spacing w:after="40"/>
      </w:pPr>
      <w:r>
        <w:t>[ ] RTO och RPO är fastställda per kritisk funktion.</w:t>
      </w:r>
    </w:p>
    <w:p>
      <w:pPr>
        <w:spacing w:after="40"/>
      </w:pPr>
      <w:r>
        <w:t>[ ] Backup-strategi är testad genom faktisk återläsning.</w:t>
      </w:r>
    </w:p>
    <w:p>
      <w:pPr>
        <w:spacing w:after="40"/>
      </w:pPr>
    </w:p>
    <w:p>
      <w:pPr>
        <w:pStyle w:val="Heading1"/>
      </w:pPr>
      <w:r>
        <w:t>3. Incidenthantering</w:t>
      </w:r>
    </w:p>
    <w:p>
      <w:pPr>
        <w:spacing w:after="40"/>
      </w:pPr>
      <w:r>
        <w:t>[ ] Process för att upptäcka, klassificera och hantera ICT-incidenter finns.</w:t>
      </w:r>
    </w:p>
    <w:p>
      <w:pPr>
        <w:spacing w:after="40"/>
      </w:pPr>
      <w:r>
        <w:t>[ ] Klassificeringskriterier följer DORA (påverkan, varaktighet, geografi, datatyp).</w:t>
      </w:r>
    </w:p>
    <w:p>
      <w:pPr>
        <w:spacing w:after="40"/>
      </w:pPr>
      <w:r>
        <w:t>[ ] Initial rapport till tillsynsmyndighet inom fastställd tidsram.</w:t>
      </w:r>
    </w:p>
    <w:p>
      <w:pPr>
        <w:spacing w:after="40"/>
      </w:pPr>
      <w:r>
        <w:t>[ ] Mellanliggande och slutlig rapport har utpekade ansvariga.</w:t>
      </w:r>
    </w:p>
    <w:p>
      <w:pPr>
        <w:spacing w:after="40"/>
      </w:pPr>
      <w:r>
        <w:t>[ ] Rutin för kundinformation vid allvarliga incidenter finns.</w:t>
      </w:r>
    </w:p>
    <w:p>
      <w:pPr>
        <w:spacing w:after="40"/>
      </w:pPr>
      <w:r>
        <w:t>[ ] Incidentregister förs och analyseras för återkommande orsaker.</w:t>
      </w:r>
    </w:p>
    <w:p>
      <w:pPr>
        <w:spacing w:after="40"/>
      </w:pPr>
    </w:p>
    <w:p>
      <w:pPr>
        <w:pStyle w:val="Heading1"/>
      </w:pPr>
      <w:r>
        <w:t>4. Test av motståndskraft</w:t>
      </w:r>
    </w:p>
    <w:p>
      <w:pPr>
        <w:spacing w:after="40"/>
      </w:pPr>
      <w:r>
        <w:t>[ ] Årligt testprogram är beslutat och dokumenterat.</w:t>
      </w:r>
    </w:p>
    <w:p>
      <w:pPr>
        <w:spacing w:after="40"/>
      </w:pPr>
      <w:r>
        <w:t>[ ] Sårbarhetsscanning genomförs regelbundet.</w:t>
      </w:r>
    </w:p>
    <w:p>
      <w:pPr>
        <w:spacing w:after="40"/>
      </w:pPr>
      <w:r>
        <w:t>[ ] Penetrationstester genomförs på kritiska system.</w:t>
      </w:r>
    </w:p>
    <w:p>
      <w:pPr>
        <w:spacing w:after="40"/>
      </w:pPr>
      <w:r>
        <w:t>[ ] Scenariobaserade tester (t.ex. leverantörsbortfall) genomförs.</w:t>
      </w:r>
    </w:p>
    <w:p>
      <w:pPr>
        <w:spacing w:after="40"/>
      </w:pPr>
      <w:r>
        <w:t>[ ] Behov av hotbildsbaserad penetrationstestning (TLPT) är bedömt.</w:t>
      </w:r>
    </w:p>
    <w:p>
      <w:pPr>
        <w:spacing w:after="40"/>
      </w:pPr>
      <w:r>
        <w:t>[ ] Åtgärder från tester följs upp till stängning.</w:t>
      </w:r>
    </w:p>
    <w:p>
      <w:pPr>
        <w:spacing w:after="40"/>
      </w:pPr>
    </w:p>
    <w:p>
      <w:pPr>
        <w:pStyle w:val="Heading1"/>
      </w:pPr>
      <w:r>
        <w:t>5. Tredjepartsrisk</w:t>
      </w:r>
    </w:p>
    <w:p>
      <w:pPr>
        <w:spacing w:after="40"/>
      </w:pPr>
      <w:r>
        <w:t>[ ] Register över informationsavtal (Register of Information) är komplett och aktuellt.</w:t>
      </w:r>
    </w:p>
    <w:p>
      <w:pPr>
        <w:spacing w:after="40"/>
      </w:pPr>
      <w:r>
        <w:t>[ ] Varje leverantör är bedömd som kritisk/icke-kritisk för viktiga funktioner.</w:t>
      </w:r>
    </w:p>
    <w:p>
      <w:pPr>
        <w:spacing w:after="40"/>
      </w:pPr>
      <w:r>
        <w:t>[ ] Koncentrationsrisk är analyserad (samma moln, samma region, samma underleverantör).</w:t>
      </w:r>
    </w:p>
    <w:p>
      <w:pPr>
        <w:spacing w:after="40"/>
      </w:pPr>
      <w:r>
        <w:t>[ ] Avtal innehåller DORA:s obligatoriska klausuler: tjänstebeskrivning, datalokalisering,</w:t>
      </w:r>
    </w:p>
    <w:p>
      <w:pPr>
        <w:spacing w:after="40"/>
      </w:pPr>
      <w:r>
        <w:t xml:space="preserve">    tillgänglighetsnivåer, revisionsrätt, tillsynsrätt, incidentstöd, uppsägning.</w:t>
      </w:r>
    </w:p>
    <w:p>
      <w:pPr>
        <w:spacing w:after="40"/>
      </w:pPr>
      <w:r>
        <w:t>[ ] Underleverantörskedjan för kritiska tjänster är kartlagd.</w:t>
      </w:r>
    </w:p>
    <w:p>
      <w:pPr>
        <w:spacing w:after="40"/>
      </w:pPr>
      <w:r>
        <w:t>[ ] Due diligence görs innan nya kritiska leverantörer anlitas.</w:t>
      </w:r>
    </w:p>
    <w:p>
      <w:pPr>
        <w:spacing w:after="40"/>
      </w:pPr>
    </w:p>
    <w:p>
      <w:pPr>
        <w:pStyle w:val="Heading1"/>
      </w:pPr>
      <w:r>
        <w:t>6. Exit-strategier</w:t>
      </w:r>
    </w:p>
    <w:p>
      <w:pPr>
        <w:spacing w:after="40"/>
      </w:pPr>
      <w:r>
        <w:t>[ ] Exit-plan finns för varje kritisk leverantör.</w:t>
      </w:r>
    </w:p>
    <w:p>
      <w:pPr>
        <w:spacing w:after="40"/>
      </w:pPr>
      <w:r>
        <w:t>[ ] Dataexport och format är säkerställda i avtal.</w:t>
      </w:r>
    </w:p>
    <w:p>
      <w:pPr>
        <w:spacing w:after="40"/>
      </w:pPr>
      <w:r>
        <w:t>[ ] Alternativa leverantörer eller intern lösning är identifierade.</w:t>
      </w:r>
    </w:p>
    <w:p>
      <w:pPr>
        <w:spacing w:after="40"/>
      </w:pPr>
      <w:r>
        <w:t>[ ] Exit-planen är testad eller genomgången på skrivbordsnivå.</w:t>
      </w:r>
    </w:p>
    <w:p>
      <w:pPr>
        <w:spacing w:after="40"/>
      </w:pPr>
    </w:p>
    <w:p>
      <w:pPr>
        <w:pStyle w:val="Heading1"/>
      </w:pPr>
      <w:r>
        <w:t>7. Informationsdelning</w:t>
      </w:r>
    </w:p>
    <w:p>
      <w:pPr>
        <w:spacing w:after="40"/>
      </w:pPr>
      <w:r>
        <w:t>[ ] Rutin för att ta emot och agera på hotinformation finns.</w:t>
      </w:r>
    </w:p>
    <w:p>
      <w:pPr>
        <w:spacing w:after="40"/>
      </w:pPr>
      <w:r>
        <w:t>[ ] Deltagande i branschforum för hotdelning är övervägt och dokumenterat.</w:t>
      </w:r>
    </w:p>
    <w:p>
      <w:pPr>
        <w:spacing w:after="40"/>
      </w:pPr>
    </w:p>
    <w:p>
      <w:pPr>
        <w:pStyle w:val="Heading1"/>
      </w:pPr>
      <w:r>
        <w:t>8. AI- och molntjänster (fördjupning)</w:t>
      </w:r>
    </w:p>
    <w:p>
      <w:pPr>
        <w:spacing w:after="40"/>
      </w:pPr>
      <w:r>
        <w:t>[ ] AI-tjänster som stödjer kritiska funktioner finns i registret.</w:t>
      </w:r>
    </w:p>
    <w:p>
      <w:pPr>
        <w:spacing w:after="40"/>
      </w:pPr>
      <w:r>
        <w:t>[ ] Var behandlas och lagras data? Tredjelandsöverföring är bedömd.</w:t>
      </w:r>
    </w:p>
    <w:p>
      <w:pPr>
        <w:spacing w:after="40"/>
      </w:pPr>
      <w:r>
        <w:t>[ ] Leverantören aviserar väsentliga modell- eller tjänsteändringar.</w:t>
      </w:r>
    </w:p>
    <w:p>
      <w:pPr>
        <w:spacing w:after="40"/>
      </w:pPr>
      <w:r>
        <w:t>[ ] Tillgänglighets- och prestandaåtaganden är avtalade och följs upp.</w:t>
      </w:r>
    </w:p>
    <w:p>
      <w:pPr>
        <w:spacing w:after="40"/>
      </w:pPr>
      <w:r>
        <w:t>[ ] Beroendet av en enskild AI-leverantör är riskbedömt.</w:t>
      </w:r>
    </w:p>
    <w:p>
      <w:pPr>
        <w:spacing w:after="40"/>
      </w:pPr>
    </w:p>
    <w:p>
      <w:pPr>
        <w:spacing w:after="40"/>
      </w:pPr>
      <w:r>
        <w:t>Avvikelser och åtgärdsplan:</w:t>
      </w:r>
    </w:p>
    <w:p>
      <w:pPr>
        <w:spacing w:after="40"/>
      </w:pPr>
      <w:r>
        <w:t>[Fritext med ansvarig och deadline per punkt]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