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Dataskyddspolicy för [Företagsnamn]</w:t>
      </w:r>
    </w:p>
    <w:p>
      <w:pPr>
        <w:spacing w:after="40"/>
      </w:pPr>
    </w:p>
    <w:p>
      <w:pPr>
        <w:spacing w:after="40"/>
      </w:pPr>
      <w:r>
        <w:t>Antagen av: [Styrelse / VD]</w:t>
      </w:r>
    </w:p>
    <w:p>
      <w:pPr>
        <w:spacing w:after="40"/>
      </w:pPr>
      <w:r>
        <w:t>Datum: [ÅÅÅÅ-MM-DD]</w:t>
      </w:r>
    </w:p>
    <w:p>
      <w:pPr>
        <w:spacing w:after="40"/>
      </w:pPr>
      <w:r>
        <w:t>Version: 1.0</w:t>
      </w:r>
    </w:p>
    <w:p>
      <w:pPr>
        <w:spacing w:after="40"/>
      </w:pPr>
      <w:r>
        <w:t>Ägare: [Roll, t.ex. DPO eller ekonomichef]</w:t>
      </w:r>
    </w:p>
    <w:p>
      <w:pPr>
        <w:spacing w:after="40"/>
      </w:pPr>
      <w:r>
        <w:t>Revideras: Årligen och vid väsentliga förändringar.</w:t>
      </w:r>
    </w:p>
    <w:p>
      <w:pPr>
        <w:spacing w:after="40"/>
      </w:pPr>
    </w:p>
    <w:p>
      <w:pPr>
        <w:pStyle w:val="Heading1"/>
      </w:pPr>
      <w:r>
        <w:t>1. Syfte och omfattning</w:t>
      </w:r>
    </w:p>
    <w:p>
      <w:pPr>
        <w:spacing w:after="40"/>
      </w:pPr>
      <w:r>
        <w:t>Policyn beskriver hur [Företagsnamn] behandlar personuppgifter i enlighet med GDPR.</w:t>
      </w:r>
    </w:p>
    <w:p>
      <w:pPr>
        <w:spacing w:after="40"/>
      </w:pPr>
      <w:r>
        <w:t>Den gäller alla anställda, konsulter och praktikanter samt samtliga system och processer</w:t>
      </w:r>
    </w:p>
    <w:p>
      <w:pPr>
        <w:spacing w:after="40"/>
      </w:pPr>
      <w:r>
        <w:t>där personuppgifter förekommer.</w:t>
      </w:r>
    </w:p>
    <w:p>
      <w:pPr>
        <w:spacing w:after="40"/>
      </w:pPr>
    </w:p>
    <w:p>
      <w:pPr>
        <w:pStyle w:val="Heading1"/>
      </w:pPr>
      <w:r>
        <w:t>2. Grundprinciper</w:t>
      </w:r>
    </w:p>
    <w:p>
      <w:pPr>
        <w:spacing w:after="40"/>
      </w:pPr>
      <w:r>
        <w:t>Vi behandlar personuppgifter:</w:t>
      </w:r>
    </w:p>
    <w:p>
      <w:pPr>
        <w:spacing w:after="40"/>
      </w:pPr>
      <w:r>
        <w:t>- lagligt, korrekt och öppet gentemot den registrerade,</w:t>
      </w:r>
    </w:p>
    <w:p>
      <w:pPr>
        <w:spacing w:after="40"/>
      </w:pPr>
      <w:r>
        <w:t>- för särskilda, uttryckligt angivna och berättigade ändamål,</w:t>
      </w:r>
    </w:p>
    <w:p>
      <w:pPr>
        <w:spacing w:after="40"/>
      </w:pPr>
      <w:r>
        <w:t>- begränsat till vad som är nödvändigt (dataminimering),</w:t>
      </w:r>
    </w:p>
    <w:p>
      <w:pPr>
        <w:spacing w:after="40"/>
      </w:pPr>
      <w:r>
        <w:t>- korrekt och uppdaterat,</w:t>
      </w:r>
    </w:p>
    <w:p>
      <w:pPr>
        <w:spacing w:after="40"/>
      </w:pPr>
      <w:r>
        <w:t>- inte längre än nödvändigt,</w:t>
      </w:r>
    </w:p>
    <w:p>
      <w:pPr>
        <w:spacing w:after="40"/>
      </w:pPr>
      <w:r>
        <w:t>- med lämplig säkerhet,</w:t>
      </w:r>
    </w:p>
    <w:p>
      <w:pPr>
        <w:spacing w:after="40"/>
      </w:pPr>
      <w:r>
        <w:t>- och på ett sätt vi kan visa och dokumentera (ansvarsskyldighet).</w:t>
      </w:r>
    </w:p>
    <w:p>
      <w:pPr>
        <w:spacing w:after="40"/>
      </w:pPr>
    </w:p>
    <w:p>
      <w:pPr>
        <w:pStyle w:val="Heading1"/>
      </w:pPr>
      <w:r>
        <w:t>3. Roller och ansvar</w:t>
      </w:r>
    </w:p>
    <w:p>
      <w:pPr>
        <w:spacing w:after="40"/>
      </w:pPr>
      <w:r>
        <w:t>Personuppgiftsansvarig: [Företagsnamn]</w:t>
      </w:r>
    </w:p>
    <w:p>
      <w:pPr>
        <w:spacing w:after="40"/>
      </w:pPr>
      <w:r>
        <w:t>Dataskyddsansvarig/DPO: [Namn, kontaktuppgift]</w:t>
      </w:r>
    </w:p>
    <w:p>
      <w:pPr>
        <w:spacing w:after="40"/>
      </w:pPr>
      <w:r>
        <w:t>Systemägare: ansvarar för behandling i sina system.</w:t>
      </w:r>
    </w:p>
    <w:p>
      <w:pPr>
        <w:spacing w:after="40"/>
      </w:pPr>
      <w:r>
        <w:t>Chefer: ansvarar för att medarbetare känner till och följer policyn.</w:t>
      </w:r>
    </w:p>
    <w:p>
      <w:pPr>
        <w:spacing w:after="40"/>
      </w:pPr>
      <w:r>
        <w:t>Alla medarbetare: ansvarar för att följa policyn och rapportera avvikelser.</w:t>
      </w:r>
    </w:p>
    <w:p>
      <w:pPr>
        <w:spacing w:after="40"/>
      </w:pPr>
    </w:p>
    <w:p>
      <w:pPr>
        <w:pStyle w:val="Heading1"/>
      </w:pPr>
      <w:r>
        <w:t>4. Rättslig grund</w:t>
      </w:r>
    </w:p>
    <w:p>
      <w:pPr>
        <w:spacing w:after="40"/>
      </w:pPr>
      <w:r>
        <w:t>Innan en ny behandling påbörjas ska rättslig grund fastställas och dokumenteras:</w:t>
      </w:r>
    </w:p>
    <w:p>
      <w:pPr>
        <w:spacing w:after="40"/>
      </w:pPr>
      <w:r>
        <w:t>avtal, rättslig förpliktelse, samtycke, berättigat intresse, skydd av grundläggande</w:t>
      </w:r>
    </w:p>
    <w:p>
      <w:pPr>
        <w:spacing w:after="40"/>
      </w:pPr>
      <w:r>
        <w:t>intressen eller allmänt intresse. Vid berättigat intresse dokumenteras en</w:t>
      </w:r>
    </w:p>
    <w:p>
      <w:pPr>
        <w:spacing w:after="40"/>
      </w:pPr>
      <w:r>
        <w:t>intresseavvägning. Samtycke ska vara frivilligt, specifikt, informerat och möjligt</w:t>
      </w:r>
    </w:p>
    <w:p>
      <w:pPr>
        <w:spacing w:after="40"/>
      </w:pPr>
      <w:r>
        <w:t>att återkalla.</w:t>
      </w:r>
    </w:p>
    <w:p>
      <w:pPr>
        <w:spacing w:after="40"/>
      </w:pPr>
    </w:p>
    <w:p>
      <w:pPr>
        <w:pStyle w:val="Heading1"/>
      </w:pPr>
      <w:r>
        <w:t>5. Registerförteckning</w:t>
      </w:r>
    </w:p>
    <w:p>
      <w:pPr>
        <w:spacing w:after="40"/>
      </w:pPr>
      <w:r>
        <w:t>En registerförteckning enligt artikel 30 förs och uppdateras minst [halvårsvis].</w:t>
      </w:r>
    </w:p>
    <w:p>
      <w:pPr>
        <w:spacing w:after="40"/>
      </w:pPr>
      <w:r>
        <w:t>Per behandling anges: ändamål, rättslig grund, kategorier av registrerade och uppgifter,</w:t>
      </w:r>
    </w:p>
    <w:p>
      <w:pPr>
        <w:spacing w:after="40"/>
      </w:pPr>
      <w:r>
        <w:t>mottagare, eventuell tredjelandsöverföring, gallringstid och säkerhetsåtgärder.</w:t>
      </w:r>
    </w:p>
    <w:p>
      <w:pPr>
        <w:spacing w:after="40"/>
      </w:pPr>
    </w:p>
    <w:p>
      <w:pPr>
        <w:pStyle w:val="Heading1"/>
      </w:pPr>
      <w:r>
        <w:t>6. Registrerades rättigheter</w:t>
      </w:r>
    </w:p>
    <w:p>
      <w:pPr>
        <w:spacing w:after="40"/>
      </w:pPr>
      <w:r>
        <w:t>Begäran tas emot via [e-postadress] och besvaras utan onödigt dröjsmål, senast inom</w:t>
      </w:r>
    </w:p>
    <w:p>
      <w:pPr>
        <w:spacing w:after="40"/>
      </w:pPr>
      <w:r>
        <w:t>en månad. Rättigheterna omfattar tillgång, rättelse, radering, begränsning,</w:t>
      </w:r>
    </w:p>
    <w:p>
      <w:pPr>
        <w:spacing w:after="40"/>
      </w:pPr>
      <w:r>
        <w:t>dataportabilitet, invändning samt rätt att inte bli föremål för enbart automatiserat</w:t>
      </w:r>
    </w:p>
    <w:p>
      <w:pPr>
        <w:spacing w:after="40"/>
      </w:pPr>
      <w:r>
        <w:t>beslutsfattande med rättsliga eller liknande betydande effekter.</w:t>
      </w:r>
    </w:p>
    <w:p>
      <w:pPr>
        <w:spacing w:after="40"/>
      </w:pPr>
      <w:r>
        <w:t>Ansvarig för handläggning: [Roll].</w:t>
      </w:r>
    </w:p>
    <w:p>
      <w:pPr>
        <w:spacing w:after="40"/>
      </w:pPr>
    </w:p>
    <w:p>
      <w:pPr>
        <w:pStyle w:val="Heading1"/>
      </w:pPr>
      <w:r>
        <w:t>7. Lagring och gallring</w:t>
      </w:r>
    </w:p>
    <w:p>
      <w:pPr>
        <w:spacing w:after="40"/>
      </w:pPr>
      <w:r>
        <w:t>Uppgifter gallras enligt gallringsschema, exempel:</w:t>
      </w:r>
    </w:p>
    <w:p>
      <w:pPr>
        <w:spacing w:after="40"/>
      </w:pPr>
      <w:r>
        <w:t>| Kategori | Lagringstid | Grund |</w:t>
      </w:r>
    </w:p>
    <w:p>
      <w:pPr>
        <w:spacing w:after="40"/>
      </w:pPr>
      <w:r>
        <w:t>| --- | --- | --- |</w:t>
      </w:r>
    </w:p>
    <w:p>
      <w:pPr>
        <w:spacing w:after="40"/>
      </w:pPr>
      <w:r>
        <w:t>| Kunduppgifter | Avtalstid + [X] år | Avtal / bokföringslag |</w:t>
      </w:r>
    </w:p>
    <w:p>
      <w:pPr>
        <w:spacing w:after="40"/>
      </w:pPr>
      <w:r>
        <w:t>| Ansökningshandlingar | [6-24] månader | Berättigat intresse |</w:t>
      </w:r>
    </w:p>
    <w:p>
      <w:pPr>
        <w:spacing w:after="40"/>
      </w:pPr>
      <w:r>
        <w:t>| Support- och chattloggar | [12] månader | Berättigat intresse |</w:t>
      </w:r>
    </w:p>
    <w:p>
      <w:pPr>
        <w:spacing w:after="40"/>
      </w:pPr>
      <w:r>
        <w:t>| Marknadsföringskontakter | Till återkallat samtycke | Samtycke |</w:t>
      </w:r>
    </w:p>
    <w:p>
      <w:pPr>
        <w:spacing w:after="40"/>
      </w:pPr>
      <w:r>
        <w:t>Gallring ska ske i samtliga system, inklusive backuper enligt fastställd rutin.</w:t>
      </w:r>
    </w:p>
    <w:p>
      <w:pPr>
        <w:spacing w:after="40"/>
      </w:pPr>
    </w:p>
    <w:p>
      <w:pPr>
        <w:pStyle w:val="Heading1"/>
      </w:pPr>
      <w:r>
        <w:t>8. Säkerhet</w:t>
      </w:r>
    </w:p>
    <w:p>
      <w:pPr>
        <w:spacing w:after="40"/>
      </w:pPr>
      <w:r>
        <w:t>- Behörighet tilldelas enligt minsta privilegium och gås igenom [halvårsvis].</w:t>
      </w:r>
    </w:p>
    <w:p>
      <w:pPr>
        <w:spacing w:after="40"/>
      </w:pPr>
      <w:r>
        <w:t>- Uppgifter krypteras i vila och under överföring.</w:t>
      </w:r>
    </w:p>
    <w:p>
      <w:pPr>
        <w:spacing w:after="40"/>
      </w:pPr>
      <w:r>
        <w:t>- Åtkomst loggas och loggar granskas vid misstanke om avvikelse.</w:t>
      </w:r>
    </w:p>
    <w:p>
      <w:pPr>
        <w:spacing w:after="40"/>
      </w:pPr>
      <w:r>
        <w:t>- Medarbetare utbildas i dataskydd vid anställning och därefter årligen.</w:t>
      </w:r>
    </w:p>
    <w:p>
      <w:pPr>
        <w:spacing w:after="40"/>
      </w:pPr>
    </w:p>
    <w:p>
      <w:pPr>
        <w:pStyle w:val="Heading1"/>
      </w:pPr>
      <w:r>
        <w:t>9. Personuppgiftsincidenter</w:t>
      </w:r>
    </w:p>
    <w:p>
      <w:pPr>
        <w:spacing w:after="40"/>
      </w:pPr>
      <w:r>
        <w:t>Misstänkt incident rapporteras omedelbart till [Roll]. Incidenten dokumenteras,</w:t>
      </w:r>
    </w:p>
    <w:p>
      <w:pPr>
        <w:spacing w:after="40"/>
      </w:pPr>
      <w:r>
        <w:t>bedöms och anmäls vid behov till Integritetsskyddsmyndigheten inom 72 timmar.</w:t>
      </w:r>
    </w:p>
    <w:p>
      <w:pPr>
        <w:spacing w:after="40"/>
      </w:pPr>
      <w:r>
        <w:t>Vid hög risk för de registrerade informeras även dessa. Incidentregister förs.</w:t>
      </w:r>
    </w:p>
    <w:p>
      <w:pPr>
        <w:spacing w:after="40"/>
      </w:pPr>
    </w:p>
    <w:p>
      <w:pPr>
        <w:pStyle w:val="Heading1"/>
      </w:pPr>
      <w:r>
        <w:t>10. Personuppgiftsbiträden</w:t>
      </w:r>
    </w:p>
    <w:p>
      <w:pPr>
        <w:spacing w:after="40"/>
      </w:pPr>
      <w:r>
        <w:t>Nya leverantörer som behandlar personuppgifter för vår räkning godkänns av [Roll].</w:t>
      </w:r>
    </w:p>
    <w:p>
      <w:pPr>
        <w:spacing w:after="40"/>
      </w:pPr>
      <w:r>
        <w:t>Personuppgiftsbiträdesavtal tecknas alltid innan behandling påbörjas.</w:t>
      </w:r>
    </w:p>
    <w:p>
      <w:pPr>
        <w:spacing w:after="40"/>
      </w:pPr>
      <w:r>
        <w:t>Underbiträden och behandlingsländer dokumenteras.</w:t>
      </w:r>
    </w:p>
    <w:p>
      <w:pPr>
        <w:spacing w:after="40"/>
      </w:pPr>
    </w:p>
    <w:p>
      <w:pPr>
        <w:pStyle w:val="Heading1"/>
      </w:pPr>
      <w:r>
        <w:t>11. Överföring till tredjeland</w:t>
      </w:r>
    </w:p>
    <w:p>
      <w:pPr>
        <w:spacing w:after="40"/>
      </w:pPr>
      <w:r>
        <w:t>Överföring utanför EU/EES sker endast med giltig överföringsgrund och dokumenterad</w:t>
      </w:r>
    </w:p>
    <w:p>
      <w:pPr>
        <w:spacing w:after="40"/>
      </w:pPr>
      <w:r>
        <w:t>överföringsbedömning. Kompletterande skyddsåtgärder vidtas vid behov.</w:t>
      </w:r>
    </w:p>
    <w:p>
      <w:pPr>
        <w:spacing w:after="40"/>
      </w:pPr>
    </w:p>
    <w:p>
      <w:pPr>
        <w:pStyle w:val="Heading1"/>
      </w:pPr>
      <w:r>
        <w:t>12. AI och automatiserat beslutsfattande</w:t>
      </w:r>
    </w:p>
    <w:p>
      <w:pPr>
        <w:spacing w:after="40"/>
      </w:pPr>
      <w:r>
        <w:t>- Personuppgifter får endast matas in i AI-verktyg som är godkända enligt vår lista.</w:t>
      </w:r>
    </w:p>
    <w:p>
      <w:pPr>
        <w:spacing w:after="40"/>
      </w:pPr>
      <w:r>
        <w:t>- Känsliga personuppgifter får inte matas in utan särskilt godkännande från [Roll].</w:t>
      </w:r>
    </w:p>
    <w:p>
      <w:pPr>
        <w:spacing w:after="40"/>
      </w:pPr>
      <w:r>
        <w:t>- Beslut som väsentligt påverkar individer får inte fattas helt automatiserat utan</w:t>
      </w:r>
    </w:p>
    <w:p>
      <w:pPr>
        <w:spacing w:after="40"/>
      </w:pPr>
      <w:r>
        <w:t xml:space="preserve">  rättslig grund, information och möjlighet till mänsklig granskning.</w:t>
      </w:r>
    </w:p>
    <w:p>
      <w:pPr>
        <w:spacing w:after="40"/>
      </w:pPr>
      <w:r>
        <w:t>- Vid ny AI-behandling av personuppgifter i större omfattning görs en DPIA.</w:t>
      </w:r>
    </w:p>
    <w:p>
      <w:pPr>
        <w:spacing w:after="40"/>
      </w:pPr>
    </w:p>
    <w:p>
      <w:pPr>
        <w:pStyle w:val="Heading1"/>
      </w:pPr>
      <w:r>
        <w:t>13. Konsekvensbedömning (DPIA)</w:t>
      </w:r>
    </w:p>
    <w:p>
      <w:pPr>
        <w:spacing w:after="40"/>
      </w:pPr>
      <w:r>
        <w:t>DPIA genomförs vid behandling som sannolikt leder till hög risk, t.ex. omfattande</w:t>
      </w:r>
    </w:p>
    <w:p>
      <w:pPr>
        <w:spacing w:after="40"/>
      </w:pPr>
      <w:r>
        <w:t>profilering, storskalig behandling av känsliga uppgifter eller systematisk övervakning.</w:t>
      </w:r>
    </w:p>
    <w:p>
      <w:pPr>
        <w:spacing w:after="40"/>
      </w:pPr>
    </w:p>
    <w:p>
      <w:pPr>
        <w:pStyle w:val="Heading1"/>
      </w:pPr>
      <w:r>
        <w:t>14. Uppföljning</w:t>
      </w:r>
    </w:p>
    <w:p>
      <w:pPr>
        <w:spacing w:after="40"/>
      </w:pPr>
      <w:r>
        <w:t>Efterlevnaden följs upp [årligen] av [Roll] och rapporteras till ledningen.</w:t>
      </w:r>
    </w:p>
    <w:p>
      <w:pPr>
        <w:spacing w:after="40"/>
      </w:pPr>
      <w:r>
        <w:t>Avvikelser åtgärdas enligt beslutad åtgärdsplan.</w:t>
      </w:r>
    </w:p>
    <w:p>
      <w:pPr>
        <w:spacing w:after="40"/>
      </w:pPr>
    </w:p>
    <w:p>
      <w:pPr>
        <w:spacing w:after="40"/>
      </w:pPr>
      <w:r>
        <w:t>Kontakt i dataskyddsfrågor: [e-postadress]</w:t>
      </w:r>
    </w:p>
    <w:p/>
    <w:p>
      <w:r>
        <w:t>Mall från aimognad.se – anpassa efter er verksamhet. Utgör inte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