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b/>
          <w:bCs/>
          <w:sz w:val="40"/>
          <w:szCs w:val="40"/>
        </w:rPr>
        <w:t xml:space="preserve">AI-policy för [Företagsnamn]</w:t>
      </w:r>
    </w:p>
    <w:p>
      <w:pPr>
        <w:spacing w:after="120"/>
      </w:pPr>
      <w:r>
        <w:rPr>
          <w:b/>
          <w:bCs/>
        </w:rPr>
        <w:t xml:space="preserve">Antagen av: </w:t>
      </w:r>
      <w:r>
        <w:t xml:space="preserve">[Styrelse / VD]</w:t>
      </w:r>
    </w:p>
    <w:p>
      <w:pPr>
        <w:spacing w:after="120"/>
      </w:pPr>
      <w:r>
        <w:rPr>
          <w:b/>
          <w:bCs/>
        </w:rPr>
        <w:t xml:space="preserve">Datum: </w:t>
      </w:r>
      <w:r>
        <w:t xml:space="preserve">[ÅÅÅÅ-MM-DD]</w:t>
      </w:r>
    </w:p>
    <w:p>
      <w:pPr>
        <w:spacing w:after="120"/>
      </w:pPr>
      <w:r>
        <w:rPr>
          <w:b/>
          <w:bCs/>
        </w:rPr>
        <w:t xml:space="preserve">Version: </w:t>
      </w:r>
      <w:r>
        <w:t xml:space="preserve">1.0</w:t>
      </w:r>
    </w:p>
    <w:p>
      <w:pPr>
        <w:spacing w:after="120"/>
      </w:pPr>
      <w:r>
        <w:rPr>
          <w:b/>
          <w:bCs/>
        </w:rPr>
        <w:t xml:space="preserve">Ägare: </w:t>
      </w:r>
      <w:r>
        <w:t xml:space="preserve">[Roll, t.ex. CIO]</w:t>
      </w:r>
    </w:p>
    <w:p>
      <w:pPr>
        <w:spacing w:after="120"/>
      </w:pPr>
      <w:r>
        <w:rPr>
          <w:b/>
          <w:bCs/>
        </w:rPr>
        <w:t xml:space="preserve">Granskas: </w:t>
      </w:r>
      <w:r>
        <w:t xml:space="preserve">Årligen och vid större förändringar av EU AI Act eller verksamheten.</w:t>
      </w:r>
    </w:p>
    <w:p>
      <w:pPr>
        <w:pStyle w:val="Heading1"/>
        <w:spacing w:after="160" w:before="280"/>
      </w:pPr>
      <w:r>
        <w:rPr>
          <w:b/>
          <w:bCs/>
        </w:rPr>
        <w:t xml:space="preserve">1. Syfte</w:t>
      </w:r>
    </w:p>
    <w:p>
      <w:pPr>
        <w:spacing w:after="120"/>
      </w:pPr>
      <w:r>
        <w:t xml:space="preserve">Denna policy beskriver hur [Företagsnamn] använder artificiell intelligens (AI) på ett säkert, lagligt och etiskt sätt. Policyn gäller alla medarbetare, konsulter och leverantörer som använder AI-verktyg i företagets namn eller med företagets data.</w:t>
      </w:r>
    </w:p>
    <w:p>
      <w:pPr>
        <w:pStyle w:val="Heading1"/>
        <w:spacing w:after="160" w:before="280"/>
      </w:pPr>
      <w:r>
        <w:rPr>
          <w:b/>
          <w:bCs/>
        </w:rPr>
        <w:t xml:space="preserve">2. Tillämpning</w:t>
      </w:r>
    </w:p>
    <w:p>
      <w:pPr>
        <w:spacing w:after="120"/>
      </w:pPr>
      <w:r>
        <w:t xml:space="preserve">Policyn omfattar: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Generativa AI-verktyg (ChatGPT, Microsoft Copilot, Claude, Gemini m.fl.)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AI-funktioner inbyggda i affärssystem (CRM, ERP, HR, ekonomi)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Egenutvecklade AI-modeller och AI-agenter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AI-tjänster levererade av tredjepart</w:t>
      </w:r>
    </w:p>
    <w:p>
      <w:pPr>
        <w:pStyle w:val="Heading1"/>
        <w:spacing w:after="160" w:before="280"/>
      </w:pPr>
      <w:r>
        <w:rPr>
          <w:b/>
          <w:bCs/>
        </w:rPr>
        <w:t xml:space="preserve">3. Roller och ansvar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Roll</w:t>
            </w:r>
          </w:p>
        </w:tc>
        <w:tc>
          <w:tcPr>
            <w:tcW w:type="dxa" w:w="6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Ansvar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VD</w:t>
            </w:r>
          </w:p>
        </w:tc>
        <w:tc>
          <w:tcPr>
            <w:tcW w:type="dxa" w:w="6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Ytterst ansvarig för efterlevnad.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AI-ansvarig (CIO/CTO)</w:t>
            </w:r>
          </w:p>
        </w:tc>
        <w:tc>
          <w:tcPr>
            <w:tcW w:type="dxa" w:w="6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Äger policyn, godkänner nya AI-verktyg, leder AI-styrgrupp.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DPO</w:t>
            </w:r>
          </w:p>
        </w:tc>
        <w:tc>
          <w:tcPr>
            <w:tcW w:type="dxa" w:w="6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GDPR-bedömning, DPIA, registerförteckning.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Linjechefer</w:t>
            </w:r>
          </w:p>
        </w:tc>
        <w:tc>
          <w:tcPr>
            <w:tcW w:type="dxa" w:w="6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Säkerställer efterlevnad i sitt team, godkänner användningsfall.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Medarbetare</w:t>
            </w:r>
          </w:p>
        </w:tc>
        <w:tc>
          <w:tcPr>
            <w:tcW w:type="dxa" w:w="6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Följer policyn, rapporterar incidenter, märker AI-innehåll.</w:t>
            </w:r>
          </w:p>
        </w:tc>
      </w:tr>
    </w:tbl>
    <w:p>
      <w:pPr>
        <w:pStyle w:val="Heading1"/>
        <w:spacing w:after="160" w:before="280"/>
      </w:pPr>
      <w:r>
        <w:rPr>
          <w:b/>
          <w:bCs/>
        </w:rPr>
        <w:t xml:space="preserve">4. Tillåten användning</w:t>
      </w:r>
    </w:p>
    <w:p>
      <w:pPr>
        <w:spacing w:after="120"/>
      </w:pPr>
      <w:r>
        <w:t xml:space="preserve">Följande AI-verktyg är godkända och får användas i tjänsten: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[Verktyg 1, t.ex. Microsoft 365 Copilot — godkänt för all företagsdata]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[Verktyg 2, t.ex. ChatGPT Enterprise — godkänt utom för persondata]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[Verktyg 3, t.ex. Claude for Work — godkänt för kod och text]</w:t>
      </w:r>
    </w:p>
    <w:p>
      <w:pPr>
        <w:spacing w:after="120"/>
      </w:pPr>
      <w:r>
        <w:t xml:space="preserve">Nya verktyg måste godkännas av AI-ansvarig innan de tas i bruk.</w:t>
      </w:r>
    </w:p>
    <w:p>
      <w:pPr>
        <w:pStyle w:val="Heading1"/>
        <w:spacing w:after="160" w:before="280"/>
      </w:pPr>
      <w:r>
        <w:rPr>
          <w:b/>
          <w:bCs/>
        </w:rPr>
        <w:t xml:space="preserve">5. Otillåten användning</w:t>
      </w:r>
    </w:p>
    <w:p>
      <w:pPr>
        <w:spacing w:after="120"/>
      </w:pPr>
      <w:r>
        <w:t xml:space="preserve">Det är förbjudet att: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Mata in personuppgifter, kunddata eller affärshemligheter i AI-verktyg som inte är godkända för respektive datakategori.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Använda AI för förbjudna ändamål enligt EU AI Act, t.ex. social scoring, manipulativ beteendepåverkan eller obehörig biometrisk identifiering.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Publicera AI-genererat innehåll externt utan mänsklig granskning.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Fatta beslut om individer (rekrytering, kreditgivning, uppsägning) enbart baserat på AI-utdata.</w:t>
      </w:r>
    </w:p>
    <w:p>
      <w:pPr>
        <w:pStyle w:val="Heading1"/>
        <w:spacing w:after="160" w:before="280"/>
      </w:pPr>
      <w:r>
        <w:rPr>
          <w:b/>
          <w:bCs/>
        </w:rPr>
        <w:t xml:space="preserve">6. Data och GDPR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Persondata får endast behandlas i AI-verktyg med tecknat personuppgiftsbiträdesavtal (DPA) och giltig rättslig grund.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Dataminimering: använd endast den data som behövs för uppgiften.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Tredjelandsöverföring: kräver SCC eller motsvarande skyddsåtgärd.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DPIA krävs vid systematisk behandling i stor skala eller hög risk.</w:t>
      </w:r>
    </w:p>
    <w:p>
      <w:pPr>
        <w:pStyle w:val="Heading1"/>
        <w:spacing w:after="160" w:before="280"/>
      </w:pPr>
      <w:r>
        <w:rPr>
          <w:b/>
          <w:bCs/>
        </w:rPr>
        <w:t xml:space="preserve">7. EU AI Act – riskklassificering</w:t>
      </w:r>
    </w:p>
    <w:p>
      <w:pPr>
        <w:spacing w:after="120"/>
      </w:pPr>
      <w:r>
        <w:t xml:space="preserve">Varje AI-system klassas enligt: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500"/>
        <w:gridCol w:w="3660"/>
      </w:tblGrid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Nivå</w:t>
            </w:r>
          </w:p>
        </w:tc>
        <w:tc>
          <w:tcPr>
            <w:tcW w:type="dxa" w:w="3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Exempel</w:t>
            </w:r>
          </w:p>
        </w:tc>
        <w:tc>
          <w:tcPr>
            <w:tcW w:type="dxa" w:w="36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Krav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Förbjuden</w:t>
            </w:r>
          </w:p>
        </w:tc>
        <w:tc>
          <w:tcPr>
            <w:tcW w:type="dxa" w:w="3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Social scoring, manipulation</w:t>
            </w:r>
          </w:p>
        </w:tc>
        <w:tc>
          <w:tcPr>
            <w:tcW w:type="dxa" w:w="36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Får inte användas.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Hög risk</w:t>
            </w:r>
          </w:p>
        </w:tc>
        <w:tc>
          <w:tcPr>
            <w:tcW w:type="dxa" w:w="3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Rekrytering, kreditbeslut, utbildning</w:t>
            </w:r>
          </w:p>
        </w:tc>
        <w:tc>
          <w:tcPr>
            <w:tcW w:type="dxa" w:w="36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Riskhantering, dokumentation, översyn.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Begränsad risk</w:t>
            </w:r>
          </w:p>
        </w:tc>
        <w:tc>
          <w:tcPr>
            <w:tcW w:type="dxa" w:w="3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Chatbots, deepfakes</w:t>
            </w:r>
          </w:p>
        </w:tc>
        <w:tc>
          <w:tcPr>
            <w:tcW w:type="dxa" w:w="36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Transparens — användaren ska veta.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Minimal risk</w:t>
            </w:r>
          </w:p>
        </w:tc>
        <w:tc>
          <w:tcPr>
            <w:tcW w:type="dxa" w:w="3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Spamfilter, rekommendationer</w:t>
            </w:r>
          </w:p>
        </w:tc>
        <w:tc>
          <w:tcPr>
            <w:tcW w:type="dxa" w:w="36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Frivilliga riktlinjer.</w:t>
            </w:r>
          </w:p>
        </w:tc>
      </w:tr>
    </w:tbl>
    <w:p>
      <w:pPr>
        <w:pStyle w:val="Heading1"/>
        <w:spacing w:after="160" w:before="280"/>
      </w:pPr>
      <w:r>
        <w:rPr>
          <w:b/>
          <w:bCs/>
        </w:rPr>
        <w:t xml:space="preserve">8. Medarbetarriktlinjer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Anta att leverantören kan se det du skriver — skriv inget i AI-verktyg du inte hade skrivit i ett mejl till en extern part.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Granska alltid AI-utdata innan det går vidare till kund eller publik.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Märk AI-genererat innehåll när det är väsentligt för mottagaren.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Rapportera misstänkta AI-incidenter till [incident@foretag.se].</w:t>
      </w:r>
    </w:p>
    <w:p>
      <w:pPr>
        <w:pStyle w:val="Heading1"/>
        <w:spacing w:after="160" w:before="280"/>
      </w:pPr>
      <w:r>
        <w:rPr>
          <w:b/>
          <w:bCs/>
        </w:rPr>
        <w:t xml:space="preserve">9. Leverantörskrav</w:t>
      </w:r>
    </w:p>
    <w:p>
      <w:pPr>
        <w:spacing w:after="120"/>
      </w:pPr>
      <w:r>
        <w:t xml:space="preserve">Vid upphandling av AI-tjänster ska följande dokumenteras: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Personuppgiftsbiträdesavtal (DPA)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Modellkort och dokumentation av träningsdata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Säkerhetsbilaga (kryptering, åtkomst, lagring)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Audit-rätt och exit-plan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Geografi för datalagring (EU/EES prioriteras)</w:t>
      </w:r>
    </w:p>
    <w:p>
      <w:pPr>
        <w:pStyle w:val="Heading1"/>
        <w:spacing w:after="160" w:before="280"/>
      </w:pPr>
      <w:r>
        <w:rPr>
          <w:b/>
          <w:bCs/>
        </w:rPr>
        <w:t xml:space="preserve">10. Incidenter</w:t>
      </w:r>
    </w:p>
    <w:p>
      <w:pPr>
        <w:spacing w:after="120"/>
      </w:pPr>
      <w:r>
        <w:t xml:space="preserve">AI-relaterade incidenter rapporteras till [DPO/CISO] inom 24 timmar. Vid personuppgiftsincident gäller GDPR:s 72-timmarsregel mot IMY.</w:t>
      </w:r>
    </w:p>
    <w:p>
      <w:pPr>
        <w:pStyle w:val="Heading1"/>
        <w:spacing w:after="160" w:before="280"/>
      </w:pPr>
      <w:r>
        <w:rPr>
          <w:b/>
          <w:bCs/>
        </w:rPr>
        <w:t xml:space="preserve">11. Utbildning</w:t>
      </w:r>
    </w:p>
    <w:p>
      <w:pPr>
        <w:spacing w:after="120"/>
      </w:pPr>
      <w:r>
        <w:t xml:space="preserve">Alla medarbetare ska genomgå grundläggande AI-utbildning vid anställning och årlig repetition. Utvecklare och AI-ansvariga får fördjupad utbildning i prompt engineering, säkerhet och EU AI Act.</w:t>
      </w:r>
    </w:p>
    <w:p>
      <w:pPr>
        <w:pStyle w:val="Heading1"/>
        <w:spacing w:after="160" w:before="280"/>
      </w:pPr>
      <w:r>
        <w:rPr>
          <w:b/>
          <w:bCs/>
        </w:rPr>
        <w:t xml:space="preserve">12. Uppföljning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Policyn revideras minst en gång per år.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AI-styrgruppen möts kvartalsvis.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Avvikelser rapporteras till ledningen halvårsvis.</w:t>
      </w:r>
    </w:p>
    <w:p>
      <w:pPr>
        <w:pBdr>
          <w:top w:val="single" w:color="BFBFBF" w:sz="6" w:space="6"/>
        </w:pBdr>
        <w:spacing w:after="120" w:before="320"/>
      </w:pPr>
      <w:r>
        <w:rPr>
          <w:i/>
          <w:iCs/>
        </w:rPr>
        <w:t xml:space="preserve">Frågor om policyn? Kontakta [ai-ansvarig@foretag.se].</w:t>
      </w:r>
    </w:p>
    <w:p>
      <w:pPr>
        <w:spacing w:before="240"/>
        <w:jc w:val="center"/>
      </w:pPr>
      <w:r>
        <w:rPr>
          <w:color w:val="888888"/>
          <w:sz w:val="18"/>
          <w:szCs w:val="18"/>
        </w:rPr>
        <w:t xml:space="preserve">Mall från aimognad.se · Anpassa fritt efter er verksamhet.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80"/>
      <w:outlineLvl w:val="0"/>
    </w:pPr>
    <w:rPr>
      <w:rFonts w:ascii="Calibri" w:cs="Calibri" w:eastAsia="Calibri" w:hAnsi="Calibri"/>
      <w:b/>
      <w:bCs/>
      <w:color w:val="1F3A6B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20"/>
      <w:outlineLvl w:val="1"/>
    </w:pPr>
    <w:rPr>
      <w:rFonts w:ascii="Calibri" w:cs="Calibri" w:eastAsia="Calibri" w:hAnsi="Calibri"/>
      <w:b/>
      <w:bCs/>
      <w:color w:val="1F3A6B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2026-06-17T11:38:07.764Z</dcterms:created>
  <dcterms:modified xsi:type="dcterms:W3CDTF">2026-06-17T11:38:07.765Z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